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0B79" w14:textId="0B64E602" w:rsidR="007C53A7" w:rsidRPr="007C53A7" w:rsidRDefault="007C53A7" w:rsidP="00984874">
      <w:pPr>
        <w:numPr>
          <w:ilvl w:val="0"/>
          <w:numId w:val="2"/>
        </w:numPr>
        <w:tabs>
          <w:tab w:val="clear" w:pos="786"/>
          <w:tab w:val="num" w:pos="360"/>
          <w:tab w:val="num" w:pos="720"/>
        </w:tabs>
        <w:spacing w:before="240" w:after="240"/>
        <w:ind w:left="360"/>
        <w:jc w:val="both"/>
        <w:rPr>
          <w:rFonts w:ascii="Arial" w:hAnsi="Arial" w:cs="Arial"/>
          <w:sz w:val="22"/>
          <w:szCs w:val="22"/>
        </w:rPr>
      </w:pPr>
      <w:r w:rsidRPr="007C53A7">
        <w:rPr>
          <w:rFonts w:ascii="Arial" w:hAnsi="Arial" w:cs="Arial"/>
          <w:sz w:val="22"/>
          <w:szCs w:val="22"/>
        </w:rPr>
        <w:t xml:space="preserve">The Queensland Government has a comprehensive regulatory framework in place to minimise the risks of exposure to asbestos in workplaces, domestic premises and the environment. </w:t>
      </w:r>
      <w:r w:rsidR="00447A5C">
        <w:rPr>
          <w:rFonts w:ascii="Arial" w:hAnsi="Arial" w:cs="Arial"/>
          <w:sz w:val="22"/>
          <w:szCs w:val="22"/>
        </w:rPr>
        <w:t>Five </w:t>
      </w:r>
      <w:r w:rsidRPr="007C53A7">
        <w:rPr>
          <w:rFonts w:ascii="Arial" w:hAnsi="Arial" w:cs="Arial"/>
          <w:sz w:val="22"/>
          <w:szCs w:val="22"/>
        </w:rPr>
        <w:t>State Government agencies and all local councils are responsible for administering and enforcing asbestos-related legislation.</w:t>
      </w:r>
    </w:p>
    <w:p w14:paraId="403CD0B0" w14:textId="2D8E60E3" w:rsidR="007C53A7" w:rsidRPr="007C53A7" w:rsidRDefault="007C53A7" w:rsidP="00984874">
      <w:pPr>
        <w:numPr>
          <w:ilvl w:val="0"/>
          <w:numId w:val="2"/>
        </w:numPr>
        <w:tabs>
          <w:tab w:val="clear" w:pos="786"/>
          <w:tab w:val="num" w:pos="360"/>
          <w:tab w:val="num" w:pos="720"/>
        </w:tabs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7C53A7">
        <w:rPr>
          <w:rFonts w:ascii="Arial" w:hAnsi="Arial" w:cs="Arial"/>
          <w:sz w:val="22"/>
          <w:szCs w:val="22"/>
        </w:rPr>
        <w:t xml:space="preserve">The Queensland Government is committed to improving asbestos safety and supports a coordinated whole-of-government approach towards the management and regulation of asbestos. With the successful completion of the </w:t>
      </w:r>
      <w:r w:rsidRPr="007C53A7">
        <w:rPr>
          <w:rFonts w:ascii="Arial" w:hAnsi="Arial" w:cs="Arial"/>
          <w:i/>
          <w:iCs/>
          <w:sz w:val="22"/>
          <w:szCs w:val="22"/>
        </w:rPr>
        <w:t>Statewide Strategic Plan for the Safe Management of Asbestos in Queensland 2014</w:t>
      </w:r>
      <w:r w:rsidR="00EA3D68">
        <w:rPr>
          <w:rFonts w:ascii="Arial" w:hAnsi="Arial" w:cs="Arial"/>
          <w:i/>
          <w:iCs/>
          <w:sz w:val="22"/>
          <w:szCs w:val="22"/>
        </w:rPr>
        <w:t>–</w:t>
      </w:r>
      <w:r w:rsidRPr="007C53A7">
        <w:rPr>
          <w:rFonts w:ascii="Arial" w:hAnsi="Arial" w:cs="Arial"/>
          <w:i/>
          <w:iCs/>
          <w:sz w:val="22"/>
          <w:szCs w:val="22"/>
        </w:rPr>
        <w:t>2019</w:t>
      </w:r>
      <w:r w:rsidRPr="007C53A7">
        <w:rPr>
          <w:rFonts w:ascii="Arial" w:hAnsi="Arial" w:cs="Arial"/>
          <w:sz w:val="22"/>
          <w:szCs w:val="22"/>
        </w:rPr>
        <w:t xml:space="preserve">, the Queensland Government </w:t>
      </w:r>
      <w:r w:rsidR="00EA3D68">
        <w:rPr>
          <w:rFonts w:ascii="Arial" w:hAnsi="Arial" w:cs="Arial"/>
          <w:sz w:val="22"/>
          <w:szCs w:val="22"/>
        </w:rPr>
        <w:t xml:space="preserve">will </w:t>
      </w:r>
      <w:r w:rsidRPr="007C53A7">
        <w:rPr>
          <w:rFonts w:ascii="Arial" w:hAnsi="Arial" w:cs="Arial"/>
          <w:sz w:val="22"/>
          <w:szCs w:val="22"/>
        </w:rPr>
        <w:t>continu</w:t>
      </w:r>
      <w:r w:rsidR="00EA3D68">
        <w:rPr>
          <w:rFonts w:ascii="Arial" w:hAnsi="Arial" w:cs="Arial"/>
          <w:sz w:val="22"/>
          <w:szCs w:val="22"/>
        </w:rPr>
        <w:t>e</w:t>
      </w:r>
      <w:r w:rsidRPr="007C53A7">
        <w:rPr>
          <w:rFonts w:ascii="Arial" w:hAnsi="Arial" w:cs="Arial"/>
          <w:sz w:val="22"/>
          <w:szCs w:val="22"/>
        </w:rPr>
        <w:t xml:space="preserve"> its efforts to ensure the impacts of asbestos are minimised through the development of the </w:t>
      </w:r>
      <w:r w:rsidRPr="007C53A7">
        <w:rPr>
          <w:rFonts w:ascii="Arial" w:hAnsi="Arial" w:cs="Arial"/>
          <w:i/>
          <w:sz w:val="22"/>
          <w:szCs w:val="22"/>
        </w:rPr>
        <w:t>Statewide Strategic Plan for the Safe Management of Asbestos in Queensland 2022</w:t>
      </w:r>
      <w:r w:rsidR="00EA3D68">
        <w:rPr>
          <w:rFonts w:ascii="Arial" w:hAnsi="Arial" w:cs="Arial"/>
          <w:i/>
          <w:sz w:val="22"/>
          <w:szCs w:val="22"/>
        </w:rPr>
        <w:t>–</w:t>
      </w:r>
      <w:r w:rsidRPr="007C53A7">
        <w:rPr>
          <w:rFonts w:ascii="Arial" w:hAnsi="Arial" w:cs="Arial"/>
          <w:i/>
          <w:sz w:val="22"/>
          <w:szCs w:val="22"/>
        </w:rPr>
        <w:t>2025</w:t>
      </w:r>
      <w:r w:rsidRPr="007C53A7">
        <w:rPr>
          <w:rFonts w:ascii="Arial" w:hAnsi="Arial" w:cs="Arial"/>
          <w:iCs/>
          <w:sz w:val="22"/>
          <w:szCs w:val="22"/>
        </w:rPr>
        <w:t xml:space="preserve"> (the Queensland Asbestos Strategic Plan).</w:t>
      </w:r>
    </w:p>
    <w:p w14:paraId="781EBE76" w14:textId="77777777" w:rsidR="007C53A7" w:rsidRPr="007C53A7" w:rsidRDefault="007C53A7" w:rsidP="00984874">
      <w:pPr>
        <w:numPr>
          <w:ilvl w:val="0"/>
          <w:numId w:val="2"/>
        </w:numPr>
        <w:tabs>
          <w:tab w:val="clear" w:pos="786"/>
          <w:tab w:val="num" w:pos="360"/>
          <w:tab w:val="num" w:pos="720"/>
        </w:tabs>
        <w:spacing w:after="120"/>
        <w:ind w:left="360" w:hanging="357"/>
        <w:jc w:val="both"/>
        <w:rPr>
          <w:rFonts w:ascii="Arial" w:hAnsi="Arial" w:cs="Arial"/>
          <w:sz w:val="22"/>
          <w:szCs w:val="22"/>
        </w:rPr>
      </w:pPr>
      <w:r w:rsidRPr="007C53A7">
        <w:rPr>
          <w:rFonts w:ascii="Arial" w:hAnsi="Arial" w:cs="Arial"/>
          <w:sz w:val="22"/>
          <w:szCs w:val="22"/>
        </w:rPr>
        <w:t>The Queensland Asbestos Strategic Plan provides an ongoing framework to guide Queensland’s whole-of-government approach towards improving the management of asbestos-related risks. The Queensland Asbestos Strategic Plan includes 23 strategic actions across the following four priority areas:</w:t>
      </w:r>
    </w:p>
    <w:p w14:paraId="4E7D9C7E" w14:textId="77777777" w:rsidR="007C53A7" w:rsidRPr="007C53A7" w:rsidRDefault="007C53A7" w:rsidP="00984874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C53A7">
        <w:rPr>
          <w:rFonts w:ascii="Arial" w:hAnsi="Arial" w:cs="Arial"/>
          <w:sz w:val="22"/>
          <w:szCs w:val="22"/>
        </w:rPr>
        <w:t>improved asbestos awareness to influence behavioural change;</w:t>
      </w:r>
    </w:p>
    <w:p w14:paraId="43E96FB4" w14:textId="77777777" w:rsidR="007C53A7" w:rsidRPr="007C53A7" w:rsidRDefault="007C53A7" w:rsidP="00984874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C53A7">
        <w:rPr>
          <w:rFonts w:ascii="Arial" w:hAnsi="Arial" w:cs="Arial"/>
          <w:sz w:val="22"/>
          <w:szCs w:val="22"/>
        </w:rPr>
        <w:t>identification and effective management of legacy in situ asbestos containing materials, imported asbestos and naturally occurring asbestos;</w:t>
      </w:r>
    </w:p>
    <w:p w14:paraId="6D6F35BD" w14:textId="77777777" w:rsidR="007C53A7" w:rsidRPr="007C53A7" w:rsidRDefault="007C53A7" w:rsidP="00984874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C53A7">
        <w:rPr>
          <w:rFonts w:ascii="Arial" w:hAnsi="Arial" w:cs="Arial"/>
          <w:sz w:val="22"/>
          <w:szCs w:val="22"/>
        </w:rPr>
        <w:t>safe removal, transport and disposal of asbestos waste; and</w:t>
      </w:r>
    </w:p>
    <w:p w14:paraId="5E6D7C55" w14:textId="77777777" w:rsidR="007C53A7" w:rsidRPr="007C53A7" w:rsidRDefault="007C53A7" w:rsidP="00984874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C53A7">
        <w:rPr>
          <w:rFonts w:ascii="Arial" w:hAnsi="Arial" w:cs="Arial"/>
          <w:sz w:val="22"/>
          <w:szCs w:val="22"/>
        </w:rPr>
        <w:t>effective and coordinated regulation.</w:t>
      </w:r>
    </w:p>
    <w:p w14:paraId="2947BFA4" w14:textId="4BA3161C" w:rsidR="007C53A7" w:rsidRPr="007C53A7" w:rsidRDefault="007C53A7" w:rsidP="00984874">
      <w:pPr>
        <w:numPr>
          <w:ilvl w:val="0"/>
          <w:numId w:val="2"/>
        </w:numPr>
        <w:tabs>
          <w:tab w:val="clear" w:pos="786"/>
          <w:tab w:val="num" w:pos="360"/>
          <w:tab w:val="num" w:pos="720"/>
        </w:tabs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7C53A7">
        <w:rPr>
          <w:rFonts w:ascii="Arial" w:hAnsi="Arial" w:cs="Arial"/>
          <w:sz w:val="22"/>
          <w:szCs w:val="22"/>
        </w:rPr>
        <w:t>The Queensland Asbestos Strategic Plan will operate over a three</w:t>
      </w:r>
      <w:r w:rsidR="00EA3D68">
        <w:rPr>
          <w:rFonts w:ascii="Arial" w:hAnsi="Arial" w:cs="Arial"/>
          <w:sz w:val="22"/>
          <w:szCs w:val="22"/>
        </w:rPr>
        <w:t>-</w:t>
      </w:r>
      <w:r w:rsidRPr="007C53A7">
        <w:rPr>
          <w:rFonts w:ascii="Arial" w:hAnsi="Arial" w:cs="Arial"/>
          <w:sz w:val="22"/>
          <w:szCs w:val="22"/>
        </w:rPr>
        <w:t xml:space="preserve">year period. </w:t>
      </w:r>
      <w:r w:rsidR="00737862">
        <w:rPr>
          <w:rFonts w:ascii="Arial" w:hAnsi="Arial" w:cs="Arial"/>
          <w:sz w:val="22"/>
          <w:szCs w:val="22"/>
        </w:rPr>
        <w:t>A</w:t>
      </w:r>
      <w:r w:rsidRPr="007C53A7">
        <w:rPr>
          <w:rFonts w:ascii="Arial" w:hAnsi="Arial" w:cs="Arial"/>
          <w:sz w:val="22"/>
          <w:szCs w:val="22"/>
        </w:rPr>
        <w:t xml:space="preserve">nnual progress reports will be made available on the Government’s asbestos website. </w:t>
      </w:r>
    </w:p>
    <w:p w14:paraId="408FCC99" w14:textId="4A9405AA" w:rsidR="007C53A7" w:rsidRPr="007C53A7" w:rsidRDefault="007C53A7" w:rsidP="00984874">
      <w:pPr>
        <w:numPr>
          <w:ilvl w:val="0"/>
          <w:numId w:val="2"/>
        </w:numPr>
        <w:tabs>
          <w:tab w:val="clear" w:pos="786"/>
          <w:tab w:val="num" w:pos="360"/>
          <w:tab w:val="num" w:pos="720"/>
        </w:tabs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7C53A7">
        <w:rPr>
          <w:rFonts w:ascii="Arial" w:hAnsi="Arial" w:cs="Arial"/>
          <w:sz w:val="22"/>
          <w:szCs w:val="22"/>
          <w:u w:val="single"/>
        </w:rPr>
        <w:t>Cabinet approved</w:t>
      </w:r>
      <w:r w:rsidRPr="007C53A7">
        <w:rPr>
          <w:rFonts w:ascii="Arial" w:hAnsi="Arial" w:cs="Arial"/>
          <w:sz w:val="22"/>
          <w:szCs w:val="22"/>
        </w:rPr>
        <w:t xml:space="preserve"> the </w:t>
      </w:r>
      <w:r w:rsidRPr="007C53A7">
        <w:rPr>
          <w:rFonts w:ascii="Arial" w:hAnsi="Arial" w:cs="Arial"/>
          <w:i/>
          <w:iCs/>
          <w:sz w:val="22"/>
          <w:szCs w:val="22"/>
        </w:rPr>
        <w:t>Statewide Strategic Plan for the Safe Management of Asbestos in Queensland 2022</w:t>
      </w:r>
      <w:r w:rsidR="00EA3D68">
        <w:rPr>
          <w:rFonts w:ascii="Arial" w:hAnsi="Arial" w:cs="Arial"/>
          <w:i/>
          <w:iCs/>
          <w:sz w:val="22"/>
          <w:szCs w:val="22"/>
        </w:rPr>
        <w:t>–</w:t>
      </w:r>
      <w:r w:rsidRPr="007C53A7">
        <w:rPr>
          <w:rFonts w:ascii="Arial" w:hAnsi="Arial" w:cs="Arial"/>
          <w:i/>
          <w:iCs/>
          <w:sz w:val="22"/>
          <w:szCs w:val="22"/>
        </w:rPr>
        <w:t>2025</w:t>
      </w:r>
      <w:r w:rsidRPr="007C53A7">
        <w:rPr>
          <w:rFonts w:ascii="Arial" w:hAnsi="Arial" w:cs="Arial"/>
          <w:sz w:val="22"/>
          <w:szCs w:val="22"/>
        </w:rPr>
        <w:t>.</w:t>
      </w:r>
    </w:p>
    <w:p w14:paraId="67A8D123" w14:textId="7C967DC8" w:rsidR="007C53A7" w:rsidRPr="007C53A7" w:rsidRDefault="007C53A7" w:rsidP="00805BF8">
      <w:pPr>
        <w:keepNext/>
        <w:numPr>
          <w:ilvl w:val="0"/>
          <w:numId w:val="2"/>
        </w:numPr>
        <w:tabs>
          <w:tab w:val="clear" w:pos="786"/>
          <w:tab w:val="num" w:pos="360"/>
          <w:tab w:val="num" w:pos="72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7C53A7">
        <w:rPr>
          <w:rFonts w:ascii="Arial" w:hAnsi="Arial" w:cs="Arial"/>
          <w:i/>
          <w:sz w:val="22"/>
          <w:szCs w:val="22"/>
          <w:u w:val="single"/>
        </w:rPr>
        <w:t>Attachments</w:t>
      </w:r>
      <w:r w:rsidR="00245106">
        <w:rPr>
          <w:rFonts w:ascii="Arial" w:hAnsi="Arial" w:cs="Arial"/>
          <w:iCs/>
          <w:sz w:val="22"/>
          <w:szCs w:val="22"/>
        </w:rPr>
        <w:t>:</w:t>
      </w:r>
    </w:p>
    <w:p w14:paraId="17CCEB5A" w14:textId="549C7D91" w:rsidR="007C53A7" w:rsidRPr="00245106" w:rsidRDefault="00E61640" w:rsidP="00805BF8">
      <w:pPr>
        <w:numPr>
          <w:ilvl w:val="0"/>
          <w:numId w:val="6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7C53A7" w:rsidRPr="00A61D2A">
          <w:rPr>
            <w:rStyle w:val="Hyperlink"/>
            <w:rFonts w:ascii="Arial" w:hAnsi="Arial" w:cs="Arial"/>
            <w:i/>
            <w:iCs/>
            <w:sz w:val="22"/>
            <w:szCs w:val="22"/>
          </w:rPr>
          <w:t>Statewide Strategic Plan for the Safe Management of Asbestos in Queensland 2022</w:t>
        </w:r>
        <w:r w:rsidR="00EA3D68" w:rsidRPr="00A61D2A">
          <w:rPr>
            <w:rStyle w:val="Hyperlink"/>
            <w:rFonts w:ascii="Arial" w:hAnsi="Arial" w:cs="Arial"/>
            <w:i/>
            <w:iCs/>
            <w:sz w:val="22"/>
            <w:szCs w:val="22"/>
          </w:rPr>
          <w:t>–</w:t>
        </w:r>
        <w:r w:rsidR="007C53A7" w:rsidRPr="00A61D2A">
          <w:rPr>
            <w:rStyle w:val="Hyperlink"/>
            <w:rFonts w:ascii="Arial" w:hAnsi="Arial" w:cs="Arial"/>
            <w:i/>
            <w:iCs/>
            <w:sz w:val="22"/>
            <w:szCs w:val="22"/>
          </w:rPr>
          <w:t>2025</w:t>
        </w:r>
      </w:hyperlink>
    </w:p>
    <w:sectPr w:rsidR="007C53A7" w:rsidRPr="00245106" w:rsidSect="00245106">
      <w:headerReference w:type="default" r:id="rId11"/>
      <w:pgSz w:w="11907" w:h="16834" w:code="9"/>
      <w:pgMar w:top="1134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27AB" w14:textId="77777777" w:rsidR="00CD1A49" w:rsidRDefault="00CD1A49">
      <w:r>
        <w:separator/>
      </w:r>
    </w:p>
  </w:endnote>
  <w:endnote w:type="continuationSeparator" w:id="0">
    <w:p w14:paraId="51F6BE45" w14:textId="77777777" w:rsidR="00CD1A49" w:rsidRDefault="00CD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52D38" w14:textId="77777777" w:rsidR="00CD1A49" w:rsidRDefault="00CD1A49">
      <w:r>
        <w:separator/>
      </w:r>
    </w:p>
  </w:footnote>
  <w:footnote w:type="continuationSeparator" w:id="0">
    <w:p w14:paraId="5F28DF01" w14:textId="77777777" w:rsidR="00CD1A49" w:rsidRDefault="00CD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B4FB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bookmarkStart w:id="0" w:name="_Hlk103341173"/>
    <w:bookmarkStart w:id="1" w:name="_Hlk103341174"/>
    <w:r w:rsidRPr="00937A4A">
      <w:rPr>
        <w:rFonts w:ascii="Arial" w:hAnsi="Arial" w:cs="Arial"/>
        <w:b/>
        <w:sz w:val="28"/>
        <w:szCs w:val="22"/>
      </w:rPr>
      <w:t>Queensland Government</w:t>
    </w:r>
  </w:p>
  <w:p w14:paraId="7905DBC5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0CD058E" w14:textId="23655745" w:rsidR="006F737C" w:rsidRPr="00937A4A" w:rsidRDefault="000829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="007C53A7">
      <w:rPr>
        <w:rFonts w:ascii="Arial" w:hAnsi="Arial" w:cs="Arial"/>
        <w:b/>
        <w:sz w:val="22"/>
        <w:szCs w:val="22"/>
      </w:rPr>
      <w:t>June</w:t>
    </w:r>
    <w:r>
      <w:rPr>
        <w:rFonts w:ascii="Arial" w:hAnsi="Arial" w:cs="Arial"/>
        <w:b/>
        <w:sz w:val="22"/>
        <w:szCs w:val="22"/>
      </w:rPr>
      <w:t xml:space="preserve"> </w:t>
    </w:r>
    <w:r w:rsidR="00442BD9">
      <w:rPr>
        <w:rFonts w:ascii="Arial" w:hAnsi="Arial" w:cs="Arial"/>
        <w:b/>
        <w:sz w:val="22"/>
        <w:szCs w:val="22"/>
      </w:rPr>
      <w:t>202</w:t>
    </w:r>
    <w:r w:rsidR="00DB1B38">
      <w:rPr>
        <w:rFonts w:ascii="Arial" w:hAnsi="Arial" w:cs="Arial"/>
        <w:b/>
        <w:sz w:val="22"/>
        <w:szCs w:val="22"/>
      </w:rPr>
      <w:t>2</w:t>
    </w:r>
  </w:p>
  <w:p w14:paraId="045B157F" w14:textId="5AFE907A" w:rsidR="006F737C" w:rsidRDefault="007C53A7" w:rsidP="006F737C">
    <w:pPr>
      <w:keepLines/>
      <w:spacing w:before="80"/>
      <w:jc w:val="both"/>
    </w:pPr>
    <w:r w:rsidRPr="007C53A7">
      <w:rPr>
        <w:rFonts w:ascii="Arial" w:hAnsi="Arial" w:cs="Arial"/>
        <w:b/>
        <w:sz w:val="22"/>
        <w:szCs w:val="22"/>
        <w:u w:val="single"/>
      </w:rPr>
      <w:t>Strategic management of asbestos in Queensland</w:t>
    </w:r>
  </w:p>
  <w:p w14:paraId="355454D2" w14:textId="6B8D1E38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DB1B38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  <w:r w:rsidR="00DB1B38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bookmarkEnd w:id="0"/>
  <w:bookmarkEnd w:id="1"/>
  <w:p w14:paraId="7F46D227" w14:textId="77777777" w:rsidR="006F737C" w:rsidRDefault="006F737C" w:rsidP="00EF6B16">
    <w:pPr>
      <w:pStyle w:val="Header"/>
      <w:pBdr>
        <w:bottom w:val="single" w:sz="4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1F2F0378"/>
    <w:multiLevelType w:val="hybridMultilevel"/>
    <w:tmpl w:val="93CEBD74"/>
    <w:lvl w:ilvl="0" w:tplc="F9BA1B3C">
      <w:start w:val="1"/>
      <w:numFmt w:val="lowerRoman"/>
      <w:lvlText w:val="(i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666852"/>
    <w:multiLevelType w:val="hybridMultilevel"/>
    <w:tmpl w:val="D2A232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80789E"/>
    <w:multiLevelType w:val="hybridMultilevel"/>
    <w:tmpl w:val="1BAC0EBC"/>
    <w:lvl w:ilvl="0" w:tplc="1BE4612A">
      <w:start w:val="1"/>
      <w:numFmt w:val="lowerRoman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z w:val="24"/>
        <w:szCs w:val="24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C2A53"/>
    <w:multiLevelType w:val="hybridMultilevel"/>
    <w:tmpl w:val="BE985ECC"/>
    <w:lvl w:ilvl="0" w:tplc="F9BA1B3C">
      <w:start w:val="1"/>
      <w:numFmt w:val="lowerRoman"/>
      <w:lvlText w:val="(i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176F87"/>
    <w:multiLevelType w:val="hybridMultilevel"/>
    <w:tmpl w:val="55DE931A"/>
    <w:lvl w:ilvl="0" w:tplc="0C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70444">
    <w:abstractNumId w:val="7"/>
  </w:num>
  <w:num w:numId="2" w16cid:durableId="661473372">
    <w:abstractNumId w:val="9"/>
  </w:num>
  <w:num w:numId="3" w16cid:durableId="493686408">
    <w:abstractNumId w:val="5"/>
  </w:num>
  <w:num w:numId="4" w16cid:durableId="110130720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396973">
    <w:abstractNumId w:val="4"/>
  </w:num>
  <w:num w:numId="6" w16cid:durableId="504906707">
    <w:abstractNumId w:val="8"/>
  </w:num>
  <w:num w:numId="7" w16cid:durableId="1594975130">
    <w:abstractNumId w:val="2"/>
  </w:num>
  <w:num w:numId="8" w16cid:durableId="1652557720">
    <w:abstractNumId w:val="0"/>
  </w:num>
  <w:num w:numId="9" w16cid:durableId="814957964">
    <w:abstractNumId w:val="6"/>
  </w:num>
  <w:num w:numId="10" w16cid:durableId="365371716">
    <w:abstractNumId w:val="1"/>
  </w:num>
  <w:num w:numId="11" w16cid:durableId="174721970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00F6B"/>
    <w:rsid w:val="00015356"/>
    <w:rsid w:val="00016BA0"/>
    <w:rsid w:val="00041E9B"/>
    <w:rsid w:val="00042DDD"/>
    <w:rsid w:val="000455EC"/>
    <w:rsid w:val="00054820"/>
    <w:rsid w:val="00054BBC"/>
    <w:rsid w:val="0005520C"/>
    <w:rsid w:val="000602EC"/>
    <w:rsid w:val="00060480"/>
    <w:rsid w:val="0008297C"/>
    <w:rsid w:val="000851A4"/>
    <w:rsid w:val="00090031"/>
    <w:rsid w:val="000924FD"/>
    <w:rsid w:val="000A5265"/>
    <w:rsid w:val="000A6B55"/>
    <w:rsid w:val="000C0E30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6FC3"/>
    <w:rsid w:val="00187946"/>
    <w:rsid w:val="00195998"/>
    <w:rsid w:val="001B3A7B"/>
    <w:rsid w:val="001C157D"/>
    <w:rsid w:val="001C5C47"/>
    <w:rsid w:val="001D285F"/>
    <w:rsid w:val="001F02E8"/>
    <w:rsid w:val="0021222E"/>
    <w:rsid w:val="00221C58"/>
    <w:rsid w:val="00227212"/>
    <w:rsid w:val="00245106"/>
    <w:rsid w:val="00252E60"/>
    <w:rsid w:val="00253BEA"/>
    <w:rsid w:val="002676EC"/>
    <w:rsid w:val="002806B7"/>
    <w:rsid w:val="00281051"/>
    <w:rsid w:val="00290042"/>
    <w:rsid w:val="00292CC9"/>
    <w:rsid w:val="0029502A"/>
    <w:rsid w:val="002A192B"/>
    <w:rsid w:val="002A5378"/>
    <w:rsid w:val="002B02FD"/>
    <w:rsid w:val="002C02CC"/>
    <w:rsid w:val="002C6E10"/>
    <w:rsid w:val="002D4245"/>
    <w:rsid w:val="002D709B"/>
    <w:rsid w:val="002E287D"/>
    <w:rsid w:val="002E6476"/>
    <w:rsid w:val="00303A42"/>
    <w:rsid w:val="003046FE"/>
    <w:rsid w:val="00310F46"/>
    <w:rsid w:val="00312AA0"/>
    <w:rsid w:val="00317419"/>
    <w:rsid w:val="00321FD6"/>
    <w:rsid w:val="00343E09"/>
    <w:rsid w:val="00344398"/>
    <w:rsid w:val="00344B53"/>
    <w:rsid w:val="0034757B"/>
    <w:rsid w:val="00355094"/>
    <w:rsid w:val="00360FD6"/>
    <w:rsid w:val="00361B46"/>
    <w:rsid w:val="00385B1D"/>
    <w:rsid w:val="00392ABB"/>
    <w:rsid w:val="0039550B"/>
    <w:rsid w:val="003968DB"/>
    <w:rsid w:val="003A0984"/>
    <w:rsid w:val="003D234A"/>
    <w:rsid w:val="00403ABD"/>
    <w:rsid w:val="0041607B"/>
    <w:rsid w:val="0042761B"/>
    <w:rsid w:val="00433462"/>
    <w:rsid w:val="004367D0"/>
    <w:rsid w:val="004419E6"/>
    <w:rsid w:val="00442BD9"/>
    <w:rsid w:val="00447A5C"/>
    <w:rsid w:val="00451A6D"/>
    <w:rsid w:val="0045221E"/>
    <w:rsid w:val="0045700A"/>
    <w:rsid w:val="00457A73"/>
    <w:rsid w:val="004635C1"/>
    <w:rsid w:val="00471321"/>
    <w:rsid w:val="00475C94"/>
    <w:rsid w:val="00482D70"/>
    <w:rsid w:val="00483207"/>
    <w:rsid w:val="00484D48"/>
    <w:rsid w:val="00485E0A"/>
    <w:rsid w:val="004A4162"/>
    <w:rsid w:val="004B1983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5F255B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762D1"/>
    <w:rsid w:val="00682494"/>
    <w:rsid w:val="006862CE"/>
    <w:rsid w:val="006A1FA0"/>
    <w:rsid w:val="006B63E0"/>
    <w:rsid w:val="006D27D4"/>
    <w:rsid w:val="006D3F7D"/>
    <w:rsid w:val="006E3471"/>
    <w:rsid w:val="006F0676"/>
    <w:rsid w:val="006F22EE"/>
    <w:rsid w:val="006F2C5B"/>
    <w:rsid w:val="006F2F07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37862"/>
    <w:rsid w:val="00747101"/>
    <w:rsid w:val="0074766F"/>
    <w:rsid w:val="00752CFA"/>
    <w:rsid w:val="00757989"/>
    <w:rsid w:val="00774813"/>
    <w:rsid w:val="007779D8"/>
    <w:rsid w:val="007A6B61"/>
    <w:rsid w:val="007B7EC7"/>
    <w:rsid w:val="007C1F70"/>
    <w:rsid w:val="007C53A7"/>
    <w:rsid w:val="007C5D57"/>
    <w:rsid w:val="007E18AD"/>
    <w:rsid w:val="008006F5"/>
    <w:rsid w:val="008042DE"/>
    <w:rsid w:val="00805BF8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0B79"/>
    <w:rsid w:val="0089652E"/>
    <w:rsid w:val="008A64D2"/>
    <w:rsid w:val="008B434F"/>
    <w:rsid w:val="008B75EA"/>
    <w:rsid w:val="008B77A5"/>
    <w:rsid w:val="008C33AB"/>
    <w:rsid w:val="008D3FFA"/>
    <w:rsid w:val="008E2587"/>
    <w:rsid w:val="008E368A"/>
    <w:rsid w:val="008E6F42"/>
    <w:rsid w:val="0090158F"/>
    <w:rsid w:val="0090305D"/>
    <w:rsid w:val="00911BC2"/>
    <w:rsid w:val="009146E4"/>
    <w:rsid w:val="009158FC"/>
    <w:rsid w:val="00920511"/>
    <w:rsid w:val="00924E37"/>
    <w:rsid w:val="009339A6"/>
    <w:rsid w:val="00941B2A"/>
    <w:rsid w:val="00943A5F"/>
    <w:rsid w:val="00952787"/>
    <w:rsid w:val="00956E37"/>
    <w:rsid w:val="009710BC"/>
    <w:rsid w:val="009715B0"/>
    <w:rsid w:val="009753BE"/>
    <w:rsid w:val="0098042A"/>
    <w:rsid w:val="00983A5D"/>
    <w:rsid w:val="00984874"/>
    <w:rsid w:val="00997C80"/>
    <w:rsid w:val="009A41BB"/>
    <w:rsid w:val="009A7060"/>
    <w:rsid w:val="009B1B5C"/>
    <w:rsid w:val="009B5778"/>
    <w:rsid w:val="009B581E"/>
    <w:rsid w:val="009C58FC"/>
    <w:rsid w:val="009D324F"/>
    <w:rsid w:val="009D34ED"/>
    <w:rsid w:val="009D6CA4"/>
    <w:rsid w:val="009E64A4"/>
    <w:rsid w:val="009E6964"/>
    <w:rsid w:val="009F5419"/>
    <w:rsid w:val="009F5C18"/>
    <w:rsid w:val="009F7B79"/>
    <w:rsid w:val="00A11FBB"/>
    <w:rsid w:val="00A30450"/>
    <w:rsid w:val="00A31A88"/>
    <w:rsid w:val="00A50826"/>
    <w:rsid w:val="00A50D99"/>
    <w:rsid w:val="00A55E4D"/>
    <w:rsid w:val="00A61D2A"/>
    <w:rsid w:val="00A6221E"/>
    <w:rsid w:val="00A63FA2"/>
    <w:rsid w:val="00A73C9B"/>
    <w:rsid w:val="00A87F27"/>
    <w:rsid w:val="00A96C88"/>
    <w:rsid w:val="00AA4AF2"/>
    <w:rsid w:val="00AB3DDD"/>
    <w:rsid w:val="00AB48FA"/>
    <w:rsid w:val="00AC0D75"/>
    <w:rsid w:val="00AC18A4"/>
    <w:rsid w:val="00AC6519"/>
    <w:rsid w:val="00AD1BBA"/>
    <w:rsid w:val="00AD277A"/>
    <w:rsid w:val="00AE1005"/>
    <w:rsid w:val="00AE3870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3A89"/>
    <w:rsid w:val="00B64E6A"/>
    <w:rsid w:val="00B73C0B"/>
    <w:rsid w:val="00BA3D56"/>
    <w:rsid w:val="00BB05AF"/>
    <w:rsid w:val="00BB5E42"/>
    <w:rsid w:val="00BD07E3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AE3"/>
    <w:rsid w:val="00C8361E"/>
    <w:rsid w:val="00C85D8C"/>
    <w:rsid w:val="00CB18ED"/>
    <w:rsid w:val="00CB30B2"/>
    <w:rsid w:val="00CB3466"/>
    <w:rsid w:val="00CC75AD"/>
    <w:rsid w:val="00CD1600"/>
    <w:rsid w:val="00CD1A49"/>
    <w:rsid w:val="00CD1C0A"/>
    <w:rsid w:val="00CE05CC"/>
    <w:rsid w:val="00CE7993"/>
    <w:rsid w:val="00CE7F01"/>
    <w:rsid w:val="00CF0639"/>
    <w:rsid w:val="00CF542B"/>
    <w:rsid w:val="00D00FF9"/>
    <w:rsid w:val="00D01C84"/>
    <w:rsid w:val="00D1193A"/>
    <w:rsid w:val="00D242FE"/>
    <w:rsid w:val="00D26679"/>
    <w:rsid w:val="00D3433C"/>
    <w:rsid w:val="00D44A98"/>
    <w:rsid w:val="00D44DF2"/>
    <w:rsid w:val="00D44E94"/>
    <w:rsid w:val="00D471E8"/>
    <w:rsid w:val="00D64C8B"/>
    <w:rsid w:val="00D65E90"/>
    <w:rsid w:val="00D82079"/>
    <w:rsid w:val="00DA0631"/>
    <w:rsid w:val="00DA4564"/>
    <w:rsid w:val="00DA66B6"/>
    <w:rsid w:val="00DA70BE"/>
    <w:rsid w:val="00DB1B38"/>
    <w:rsid w:val="00DC47ED"/>
    <w:rsid w:val="00DF3F23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61640"/>
    <w:rsid w:val="00E6758B"/>
    <w:rsid w:val="00E7299C"/>
    <w:rsid w:val="00E775F7"/>
    <w:rsid w:val="00E8383B"/>
    <w:rsid w:val="00E861CC"/>
    <w:rsid w:val="00E96B91"/>
    <w:rsid w:val="00EA3D68"/>
    <w:rsid w:val="00EA6D8A"/>
    <w:rsid w:val="00EB4CD3"/>
    <w:rsid w:val="00EB68AE"/>
    <w:rsid w:val="00EC06FB"/>
    <w:rsid w:val="00EC1147"/>
    <w:rsid w:val="00EC1798"/>
    <w:rsid w:val="00EE00E3"/>
    <w:rsid w:val="00EE5B20"/>
    <w:rsid w:val="00EF4CD1"/>
    <w:rsid w:val="00EF6B16"/>
    <w:rsid w:val="00F15B7A"/>
    <w:rsid w:val="00F15F11"/>
    <w:rsid w:val="00F163FA"/>
    <w:rsid w:val="00F17536"/>
    <w:rsid w:val="00F54705"/>
    <w:rsid w:val="00F64C84"/>
    <w:rsid w:val="00F75242"/>
    <w:rsid w:val="00F86CCA"/>
    <w:rsid w:val="00F932AA"/>
    <w:rsid w:val="00FA6D8A"/>
    <w:rsid w:val="00FB44DA"/>
    <w:rsid w:val="00FD005B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DA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A70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70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70B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7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70BE"/>
    <w:rPr>
      <w:b/>
      <w:bCs/>
      <w:color w:val="000000"/>
    </w:rPr>
  </w:style>
  <w:style w:type="paragraph" w:styleId="Revision">
    <w:name w:val="Revision"/>
    <w:hidden/>
    <w:uiPriority w:val="99"/>
    <w:semiHidden/>
    <w:rsid w:val="00F932AA"/>
    <w:rPr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22/Jul/Asbestos/Attachments/Pla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85BC3-76B9-4029-BC3B-BA51AB8EA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61D7B-81FC-4A01-931C-24AC591DB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B05D0F-B79B-4899-B38D-ED17223C1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1607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1850</CharactersWithSpaces>
  <SharedDoc>false</SharedDoc>
  <HyperlinkBase>https://www.cabinet.qld.gov.au/documents/2022/Jul/Asbestos/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14</cp:revision>
  <cp:lastPrinted>2022-05-13T03:41:00Z</cp:lastPrinted>
  <dcterms:created xsi:type="dcterms:W3CDTF">2022-05-13T03:33:00Z</dcterms:created>
  <dcterms:modified xsi:type="dcterms:W3CDTF">2024-09-26T21:49:00Z</dcterms:modified>
  <cp:category>Building,Regulation</cp:category>
</cp:coreProperties>
</file>